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95" w:rsidRPr="00C54C11" w:rsidRDefault="00996195" w:rsidP="00996195">
      <w:pPr>
        <w:jc w:val="center"/>
        <w:rPr>
          <w:rFonts w:ascii="Times New Roman" w:hAnsi="Times New Roman"/>
          <w:b/>
          <w:sz w:val="22"/>
        </w:rPr>
      </w:pPr>
      <w:r w:rsidRPr="00C54C11">
        <w:rPr>
          <w:rFonts w:ascii="Times New Roman" w:hAnsi="Times New Roman"/>
          <w:b/>
          <w:sz w:val="22"/>
        </w:rPr>
        <w:t>Some N</w:t>
      </w:r>
      <w:r w:rsidR="00987367" w:rsidRPr="00C54C11">
        <w:rPr>
          <w:rFonts w:ascii="Times New Roman" w:hAnsi="Times New Roman"/>
          <w:b/>
          <w:sz w:val="22"/>
        </w:rPr>
        <w:t>otes on Carbon Taxes versus Cap-and-</w:t>
      </w:r>
      <w:r w:rsidRPr="00C54C11">
        <w:rPr>
          <w:rFonts w:ascii="Times New Roman" w:hAnsi="Times New Roman"/>
          <w:b/>
          <w:sz w:val="22"/>
        </w:rPr>
        <w:t>Trade</w:t>
      </w:r>
      <w:r w:rsidR="00987367" w:rsidRPr="00C54C11">
        <w:rPr>
          <w:rFonts w:ascii="Times New Roman" w:hAnsi="Times New Roman"/>
          <w:b/>
          <w:sz w:val="22"/>
        </w:rPr>
        <w:t xml:space="preserve"> S</w:t>
      </w:r>
      <w:r w:rsidR="00D46BC4" w:rsidRPr="00C54C11">
        <w:rPr>
          <w:rFonts w:ascii="Times New Roman" w:hAnsi="Times New Roman"/>
          <w:b/>
          <w:sz w:val="22"/>
        </w:rPr>
        <w:t>ystems</w:t>
      </w:r>
      <w:r w:rsidR="006E51A5">
        <w:rPr>
          <w:rFonts w:ascii="Times New Roman" w:hAnsi="Times New Roman"/>
          <w:b/>
          <w:sz w:val="22"/>
        </w:rPr>
        <w:t xml:space="preserve"> (</w:t>
      </w:r>
      <w:proofErr w:type="spellStart"/>
      <w:r w:rsidR="006E51A5">
        <w:rPr>
          <w:rFonts w:ascii="Times New Roman" w:hAnsi="Times New Roman"/>
          <w:b/>
          <w:sz w:val="22"/>
        </w:rPr>
        <w:t>dlc</w:t>
      </w:r>
      <w:proofErr w:type="spellEnd"/>
      <w:r w:rsidR="006E51A5">
        <w:rPr>
          <w:rFonts w:ascii="Times New Roman" w:hAnsi="Times New Roman"/>
          <w:b/>
          <w:sz w:val="22"/>
        </w:rPr>
        <w:t xml:space="preserve"> 3/9/2015)</w:t>
      </w:r>
    </w:p>
    <w:p w:rsidR="00996195" w:rsidRPr="00C54C11" w:rsidRDefault="00996195" w:rsidP="00996195">
      <w:pPr>
        <w:jc w:val="center"/>
        <w:rPr>
          <w:rFonts w:ascii="Times New Roman" w:hAnsi="Times New Roman"/>
          <w:sz w:val="22"/>
        </w:rPr>
      </w:pPr>
    </w:p>
    <w:p w:rsidR="00A96320" w:rsidRDefault="00996195" w:rsidP="00BB4E65">
      <w:pPr>
        <w:rPr>
          <w:rFonts w:ascii="Times New Roman" w:hAnsi="Times New Roman"/>
          <w:sz w:val="22"/>
        </w:rPr>
      </w:pPr>
      <w:r w:rsidRPr="00C54C11">
        <w:rPr>
          <w:rFonts w:ascii="Times New Roman" w:hAnsi="Times New Roman"/>
          <w:sz w:val="22"/>
        </w:rPr>
        <w:t xml:space="preserve">Suppose </w:t>
      </w:r>
      <w:r w:rsidR="00FD4F39" w:rsidRPr="00C54C11">
        <w:rPr>
          <w:rFonts w:ascii="Times New Roman" w:hAnsi="Times New Roman"/>
          <w:sz w:val="22"/>
        </w:rPr>
        <w:t>citizens of a state, country, or group of countries seek to regulate future emissions of carbon dioxide (CO</w:t>
      </w:r>
      <w:r w:rsidR="00FD4F39" w:rsidRPr="00C54C11">
        <w:rPr>
          <w:rFonts w:ascii="Times New Roman" w:hAnsi="Times New Roman"/>
          <w:sz w:val="22"/>
          <w:vertAlign w:val="subscript"/>
        </w:rPr>
        <w:t>2</w:t>
      </w:r>
      <w:r w:rsidR="00FD4F39" w:rsidRPr="00C54C11">
        <w:rPr>
          <w:rFonts w:ascii="Times New Roman" w:hAnsi="Times New Roman"/>
          <w:sz w:val="22"/>
        </w:rPr>
        <w:t>) and</w:t>
      </w:r>
      <w:r w:rsidR="007E219A" w:rsidRPr="00C54C11">
        <w:rPr>
          <w:rFonts w:ascii="Times New Roman" w:hAnsi="Times New Roman"/>
          <w:sz w:val="22"/>
        </w:rPr>
        <w:t xml:space="preserve"> possibly</w:t>
      </w:r>
      <w:r w:rsidR="00FD4F39" w:rsidRPr="00C54C11">
        <w:rPr>
          <w:rFonts w:ascii="Times New Roman" w:hAnsi="Times New Roman"/>
          <w:sz w:val="22"/>
        </w:rPr>
        <w:t xml:space="preserve"> other greenhouse gases (GHG). </w:t>
      </w:r>
      <w:r w:rsidR="00FA3B33" w:rsidRPr="00C54C11">
        <w:rPr>
          <w:rFonts w:ascii="Times New Roman" w:hAnsi="Times New Roman"/>
          <w:sz w:val="22"/>
        </w:rPr>
        <w:t>Regulatory options</w:t>
      </w:r>
      <w:r w:rsidR="00F541D7" w:rsidRPr="00C54C11">
        <w:rPr>
          <w:rFonts w:ascii="Times New Roman" w:hAnsi="Times New Roman"/>
          <w:sz w:val="22"/>
        </w:rPr>
        <w:t xml:space="preserve"> within the geographical region </w:t>
      </w:r>
      <w:r w:rsidR="00FD4F39" w:rsidRPr="00C54C11">
        <w:rPr>
          <w:rFonts w:ascii="Times New Roman" w:hAnsi="Times New Roman"/>
          <w:sz w:val="22"/>
        </w:rPr>
        <w:t>include mandating the u</w:t>
      </w:r>
      <w:r w:rsidR="0076729B">
        <w:rPr>
          <w:rFonts w:ascii="Times New Roman" w:hAnsi="Times New Roman"/>
          <w:sz w:val="22"/>
        </w:rPr>
        <w:t xml:space="preserve">se of specific technologies and/or </w:t>
      </w:r>
      <w:r w:rsidR="00FD4F39" w:rsidRPr="00C54C11">
        <w:rPr>
          <w:rFonts w:ascii="Times New Roman" w:hAnsi="Times New Roman"/>
          <w:sz w:val="22"/>
        </w:rPr>
        <w:t xml:space="preserve">establishing (and enforcing) </w:t>
      </w:r>
      <w:r w:rsidR="0057285D">
        <w:rPr>
          <w:rFonts w:ascii="Times New Roman" w:hAnsi="Times New Roman"/>
          <w:sz w:val="22"/>
        </w:rPr>
        <w:t>emissions quotas at the firm- or plant-level.</w:t>
      </w:r>
      <w:r w:rsidR="00FD4F39" w:rsidRPr="00C54C11">
        <w:rPr>
          <w:rFonts w:ascii="Times New Roman" w:hAnsi="Times New Roman"/>
          <w:sz w:val="22"/>
        </w:rPr>
        <w:t xml:space="preserve"> In contrast to such </w:t>
      </w:r>
      <w:r w:rsidR="00FD4F39" w:rsidRPr="00C54C11">
        <w:rPr>
          <w:rFonts w:ascii="Times New Roman" w:hAnsi="Times New Roman"/>
          <w:i/>
          <w:sz w:val="22"/>
        </w:rPr>
        <w:t>direct</w:t>
      </w:r>
      <w:r w:rsidR="00FD4F39" w:rsidRPr="00C54C11">
        <w:rPr>
          <w:rFonts w:ascii="Times New Roman" w:hAnsi="Times New Roman"/>
          <w:sz w:val="22"/>
        </w:rPr>
        <w:t xml:space="preserve"> </w:t>
      </w:r>
      <w:r w:rsidR="00FA3B33" w:rsidRPr="00C54C11">
        <w:rPr>
          <w:rFonts w:ascii="Times New Roman" w:hAnsi="Times New Roman"/>
          <w:sz w:val="22"/>
        </w:rPr>
        <w:t xml:space="preserve">regulatory </w:t>
      </w:r>
      <w:r w:rsidR="00FD4F39" w:rsidRPr="00C54C11">
        <w:rPr>
          <w:rFonts w:ascii="Times New Roman" w:hAnsi="Times New Roman"/>
          <w:sz w:val="22"/>
        </w:rPr>
        <w:t xml:space="preserve">approaches, carbon taxes and cap-and-trade systems are </w:t>
      </w:r>
      <w:r w:rsidR="00FD4F39" w:rsidRPr="00C54C11">
        <w:rPr>
          <w:rFonts w:ascii="Times New Roman" w:hAnsi="Times New Roman"/>
          <w:i/>
          <w:sz w:val="22"/>
        </w:rPr>
        <w:t>indirect</w:t>
      </w:r>
      <w:r w:rsidR="00600BAF" w:rsidRPr="00C54C11">
        <w:rPr>
          <w:rFonts w:ascii="Times New Roman" w:hAnsi="Times New Roman"/>
          <w:sz w:val="22"/>
        </w:rPr>
        <w:t xml:space="preserve"> strategies;</w:t>
      </w:r>
      <w:r w:rsidR="00FD4F39" w:rsidRPr="00C54C11">
        <w:rPr>
          <w:rFonts w:ascii="Times New Roman" w:hAnsi="Times New Roman"/>
          <w:sz w:val="22"/>
        </w:rPr>
        <w:t xml:space="preserve"> both </w:t>
      </w:r>
      <w:r w:rsidR="00FA3B33" w:rsidRPr="00C54C11">
        <w:rPr>
          <w:rFonts w:ascii="Times New Roman" w:hAnsi="Times New Roman"/>
          <w:sz w:val="22"/>
        </w:rPr>
        <w:t xml:space="preserve">are based upon </w:t>
      </w:r>
      <w:r w:rsidR="00FA3B33" w:rsidRPr="00C54C11">
        <w:rPr>
          <w:rFonts w:ascii="Times New Roman" w:hAnsi="Times New Roman"/>
          <w:i/>
          <w:sz w:val="22"/>
        </w:rPr>
        <w:t>pricing</w:t>
      </w:r>
      <w:r w:rsidR="00FA3B33" w:rsidRPr="00C54C11">
        <w:rPr>
          <w:rFonts w:ascii="Times New Roman" w:hAnsi="Times New Roman"/>
          <w:sz w:val="22"/>
        </w:rPr>
        <w:t xml:space="preserve"> CO</w:t>
      </w:r>
      <w:r w:rsidR="00FA3B33" w:rsidRPr="00C54C11">
        <w:rPr>
          <w:rFonts w:ascii="Times New Roman" w:hAnsi="Times New Roman"/>
          <w:sz w:val="22"/>
          <w:vertAlign w:val="subscript"/>
        </w:rPr>
        <w:t>2</w:t>
      </w:r>
      <w:r w:rsidR="00FA3B33" w:rsidRPr="00C54C11">
        <w:rPr>
          <w:rFonts w:ascii="Times New Roman" w:hAnsi="Times New Roman"/>
          <w:sz w:val="22"/>
        </w:rPr>
        <w:t xml:space="preserve"> (and GHG equivalent) emissions.</w:t>
      </w:r>
    </w:p>
    <w:p w:rsidR="00A96320" w:rsidRDefault="00A96320" w:rsidP="00BB4E65">
      <w:pPr>
        <w:rPr>
          <w:rFonts w:ascii="Times New Roman" w:hAnsi="Times New Roman"/>
          <w:sz w:val="22"/>
        </w:rPr>
      </w:pPr>
    </w:p>
    <w:p w:rsidR="00AF29BF" w:rsidRPr="00C54C11" w:rsidRDefault="003E1795" w:rsidP="003E179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C54C11">
        <w:rPr>
          <w:rFonts w:ascii="Times New Roman" w:hAnsi="Times New Roman"/>
          <w:b/>
          <w:sz w:val="22"/>
        </w:rPr>
        <w:t>Carbon taxes</w:t>
      </w:r>
      <w:r w:rsidR="00996195" w:rsidRPr="00C54C11">
        <w:rPr>
          <w:rFonts w:ascii="Times New Roman" w:hAnsi="Times New Roman"/>
          <w:sz w:val="22"/>
        </w:rPr>
        <w:t xml:space="preserve"> </w:t>
      </w:r>
      <w:r w:rsidR="00D46218">
        <w:rPr>
          <w:rFonts w:ascii="Times New Roman" w:hAnsi="Times New Roman"/>
          <w:sz w:val="22"/>
        </w:rPr>
        <w:t xml:space="preserve">(or emissions fees) </w:t>
      </w:r>
      <w:r w:rsidR="00996195" w:rsidRPr="00C54C11">
        <w:rPr>
          <w:rFonts w:ascii="Times New Roman" w:hAnsi="Times New Roman"/>
          <w:sz w:val="22"/>
        </w:rPr>
        <w:t xml:space="preserve">establish a </w:t>
      </w:r>
      <w:r w:rsidR="00996195" w:rsidRPr="00C54C11">
        <w:rPr>
          <w:rFonts w:ascii="Times New Roman" w:hAnsi="Times New Roman"/>
          <w:b/>
          <w:i/>
          <w:sz w:val="22"/>
        </w:rPr>
        <w:t>fixed price</w:t>
      </w:r>
      <w:r w:rsidR="00996195" w:rsidRPr="00C54C11">
        <w:rPr>
          <w:rFonts w:ascii="Times New Roman" w:hAnsi="Times New Roman"/>
          <w:sz w:val="22"/>
        </w:rPr>
        <w:t xml:space="preserve"> per ton of CO</w:t>
      </w:r>
      <w:r w:rsidR="00996195" w:rsidRPr="00C54C11">
        <w:rPr>
          <w:rFonts w:ascii="Times New Roman" w:hAnsi="Times New Roman"/>
          <w:sz w:val="22"/>
          <w:vertAlign w:val="subscript"/>
        </w:rPr>
        <w:t>2</w:t>
      </w:r>
      <w:r w:rsidR="00996195" w:rsidRPr="00C54C11">
        <w:rPr>
          <w:rFonts w:ascii="Times New Roman" w:hAnsi="Times New Roman"/>
          <w:sz w:val="22"/>
        </w:rPr>
        <w:t xml:space="preserve"> (or GHG equivalent). </w:t>
      </w:r>
      <w:r w:rsidR="005D20CD">
        <w:rPr>
          <w:rFonts w:ascii="Times New Roman" w:hAnsi="Times New Roman"/>
          <w:sz w:val="22"/>
        </w:rPr>
        <w:t xml:space="preserve">However, the total amount of emissions generated is </w:t>
      </w:r>
      <w:proofErr w:type="spellStart"/>
      <w:r w:rsidR="005D20CD">
        <w:rPr>
          <w:rFonts w:ascii="Times New Roman" w:hAnsi="Times New Roman"/>
          <w:sz w:val="22"/>
        </w:rPr>
        <w:t>uncertain</w:t>
      </w:r>
      <w:proofErr w:type="spellEnd"/>
      <w:r w:rsidR="005D20CD">
        <w:rPr>
          <w:rFonts w:ascii="Times New Roman" w:hAnsi="Times New Roman"/>
          <w:sz w:val="22"/>
        </w:rPr>
        <w:t>.</w:t>
      </w:r>
      <w:r w:rsidR="00600BAF" w:rsidRPr="00C54C11">
        <w:rPr>
          <w:rFonts w:ascii="Times New Roman" w:hAnsi="Times New Roman"/>
          <w:sz w:val="22"/>
        </w:rPr>
        <w:t xml:space="preserve"> </w:t>
      </w:r>
    </w:p>
    <w:p w:rsidR="00996195" w:rsidRPr="00C54C11" w:rsidRDefault="00996195" w:rsidP="00996195">
      <w:pPr>
        <w:rPr>
          <w:rFonts w:ascii="Times New Roman" w:hAnsi="Times New Roman"/>
          <w:sz w:val="22"/>
        </w:rPr>
      </w:pPr>
    </w:p>
    <w:p w:rsidR="003518C3" w:rsidRPr="003518C3" w:rsidRDefault="00996195" w:rsidP="00600BAF">
      <w:pPr>
        <w:pStyle w:val="ListParagraph"/>
        <w:numPr>
          <w:ilvl w:val="0"/>
          <w:numId w:val="3"/>
        </w:numPr>
        <w:rPr>
          <w:rFonts w:ascii="Times New Roman" w:hAnsi="Times New Roman"/>
          <w:strike/>
          <w:sz w:val="22"/>
        </w:rPr>
      </w:pPr>
      <w:r w:rsidRPr="00C54C11">
        <w:rPr>
          <w:rFonts w:ascii="Times New Roman" w:hAnsi="Times New Roman"/>
          <w:b/>
          <w:sz w:val="22"/>
        </w:rPr>
        <w:t>Cap-and-trade</w:t>
      </w:r>
      <w:r w:rsidR="00600BAF" w:rsidRPr="00C54C11">
        <w:rPr>
          <w:rFonts w:ascii="Times New Roman" w:hAnsi="Times New Roman"/>
          <w:b/>
          <w:sz w:val="22"/>
        </w:rPr>
        <w:t xml:space="preserve"> approaches</w:t>
      </w:r>
      <w:r w:rsidR="00600BAF" w:rsidRPr="00C54C11">
        <w:rPr>
          <w:rFonts w:ascii="Times New Roman" w:hAnsi="Times New Roman"/>
          <w:sz w:val="22"/>
        </w:rPr>
        <w:t xml:space="preserve"> establish a </w:t>
      </w:r>
      <w:r w:rsidR="00600BAF" w:rsidRPr="00C54C11">
        <w:rPr>
          <w:rFonts w:ascii="Times New Roman" w:hAnsi="Times New Roman"/>
          <w:b/>
          <w:i/>
          <w:sz w:val="22"/>
        </w:rPr>
        <w:t>fixed maximum quantity</w:t>
      </w:r>
      <w:r w:rsidR="00600BAF" w:rsidRPr="00C54C11">
        <w:rPr>
          <w:rFonts w:ascii="Times New Roman" w:hAnsi="Times New Roman"/>
          <w:sz w:val="22"/>
        </w:rPr>
        <w:t xml:space="preserve"> of allowable </w:t>
      </w:r>
      <w:r w:rsidR="009F596C" w:rsidRPr="00C54C11">
        <w:rPr>
          <w:rFonts w:ascii="Times New Roman" w:hAnsi="Times New Roman"/>
          <w:sz w:val="22"/>
        </w:rPr>
        <w:t>CO</w:t>
      </w:r>
      <w:r w:rsidR="009F596C" w:rsidRPr="00C54C11">
        <w:rPr>
          <w:rFonts w:ascii="Times New Roman" w:hAnsi="Times New Roman"/>
          <w:sz w:val="22"/>
          <w:vertAlign w:val="subscript"/>
        </w:rPr>
        <w:t>2</w:t>
      </w:r>
      <w:r w:rsidR="009F596C" w:rsidRPr="00C54C11">
        <w:rPr>
          <w:rFonts w:ascii="Times New Roman" w:hAnsi="Times New Roman"/>
          <w:sz w:val="22"/>
        </w:rPr>
        <w:t xml:space="preserve"> </w:t>
      </w:r>
      <w:r w:rsidR="00600BAF" w:rsidRPr="00C54C11">
        <w:rPr>
          <w:rFonts w:ascii="Times New Roman" w:hAnsi="Times New Roman"/>
          <w:sz w:val="22"/>
        </w:rPr>
        <w:t>emissions</w:t>
      </w:r>
      <w:r w:rsidR="00582D80" w:rsidRPr="00C54C11">
        <w:rPr>
          <w:rFonts w:ascii="Times New Roman" w:hAnsi="Times New Roman"/>
          <w:sz w:val="22"/>
        </w:rPr>
        <w:t xml:space="preserve"> for the region under regulation</w:t>
      </w:r>
      <w:r w:rsidR="00600BAF" w:rsidRPr="00C54C11">
        <w:rPr>
          <w:rFonts w:ascii="Times New Roman" w:hAnsi="Times New Roman"/>
          <w:sz w:val="22"/>
        </w:rPr>
        <w:t xml:space="preserve">. However, the </w:t>
      </w:r>
      <w:r w:rsidR="00600BAF" w:rsidRPr="00C54C11">
        <w:rPr>
          <w:rFonts w:ascii="Times New Roman" w:hAnsi="Times New Roman"/>
          <w:i/>
          <w:sz w:val="22"/>
        </w:rPr>
        <w:t>price</w:t>
      </w:r>
      <w:r w:rsidR="009F596C" w:rsidRPr="00C54C11">
        <w:rPr>
          <w:rFonts w:ascii="Times New Roman" w:hAnsi="Times New Roman"/>
          <w:sz w:val="22"/>
        </w:rPr>
        <w:t xml:space="preserve"> of such allowances</w:t>
      </w:r>
      <w:r w:rsidR="005D20CD">
        <w:rPr>
          <w:rFonts w:ascii="Times New Roman" w:hAnsi="Times New Roman"/>
          <w:sz w:val="22"/>
        </w:rPr>
        <w:t xml:space="preserve"> is uncertain: it</w:t>
      </w:r>
      <w:r w:rsidR="009F596C" w:rsidRPr="00C54C11">
        <w:rPr>
          <w:rFonts w:ascii="Times New Roman" w:hAnsi="Times New Roman"/>
          <w:sz w:val="22"/>
        </w:rPr>
        <w:t xml:space="preserve"> is </w:t>
      </w:r>
      <w:r w:rsidR="00EC182A">
        <w:rPr>
          <w:rFonts w:ascii="Times New Roman" w:hAnsi="Times New Roman"/>
          <w:sz w:val="22"/>
        </w:rPr>
        <w:t>established</w:t>
      </w:r>
      <w:r w:rsidR="009F596C" w:rsidRPr="00C54C11">
        <w:rPr>
          <w:rFonts w:ascii="Times New Roman" w:hAnsi="Times New Roman"/>
          <w:sz w:val="22"/>
        </w:rPr>
        <w:t xml:space="preserve"> dynamically through trading </w:t>
      </w:r>
      <w:r w:rsidR="00F252AA">
        <w:rPr>
          <w:rFonts w:ascii="Times New Roman" w:hAnsi="Times New Roman"/>
          <w:sz w:val="22"/>
        </w:rPr>
        <w:t xml:space="preserve">these allowances </w:t>
      </w:r>
      <w:r w:rsidR="005D20CD">
        <w:rPr>
          <w:rFonts w:ascii="Times New Roman" w:hAnsi="Times New Roman"/>
          <w:sz w:val="22"/>
        </w:rPr>
        <w:t xml:space="preserve">among </w:t>
      </w:r>
      <w:r w:rsidR="009F596C" w:rsidRPr="00C54C11">
        <w:rPr>
          <w:rFonts w:ascii="Times New Roman" w:hAnsi="Times New Roman"/>
          <w:sz w:val="22"/>
        </w:rPr>
        <w:t>parties that generate CO</w:t>
      </w:r>
      <w:r w:rsidR="009F596C" w:rsidRPr="00C54C11">
        <w:rPr>
          <w:rFonts w:ascii="Times New Roman" w:hAnsi="Times New Roman"/>
          <w:sz w:val="22"/>
          <w:vertAlign w:val="subscript"/>
        </w:rPr>
        <w:t>2</w:t>
      </w:r>
      <w:r w:rsidR="009F596C" w:rsidRPr="00C54C11">
        <w:rPr>
          <w:rFonts w:ascii="Times New Roman" w:hAnsi="Times New Roman"/>
          <w:sz w:val="22"/>
        </w:rPr>
        <w:t xml:space="preserve"> emissions.</w:t>
      </w:r>
    </w:p>
    <w:p w:rsidR="008F13F7" w:rsidRDefault="008F13F7" w:rsidP="00600BAF">
      <w:pPr>
        <w:rPr>
          <w:rFonts w:ascii="Times New Roman" w:hAnsi="Times New Roman"/>
          <w:sz w:val="22"/>
        </w:rPr>
      </w:pPr>
    </w:p>
    <w:p w:rsidR="008F13F7" w:rsidRDefault="008F13F7" w:rsidP="00600BA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sum, </w:t>
      </w:r>
      <w:r w:rsidR="00355F20">
        <w:rPr>
          <w:rFonts w:ascii="Times New Roman" w:hAnsi="Times New Roman"/>
          <w:sz w:val="22"/>
        </w:rPr>
        <w:t xml:space="preserve">“a </w:t>
      </w:r>
      <w:r>
        <w:rPr>
          <w:rFonts w:ascii="Times New Roman" w:hAnsi="Times New Roman"/>
          <w:sz w:val="22"/>
        </w:rPr>
        <w:t xml:space="preserve">price policy provides a fixed incentive (dollars per ton of </w:t>
      </w:r>
      <w:r w:rsidR="00355F20" w:rsidRPr="00C54C11">
        <w:rPr>
          <w:rFonts w:ascii="Times New Roman" w:hAnsi="Times New Roman"/>
          <w:sz w:val="22"/>
        </w:rPr>
        <w:t>CO</w:t>
      </w:r>
      <w:r w:rsidR="00355F20" w:rsidRPr="00C54C11">
        <w:rPr>
          <w:rFonts w:ascii="Times New Roman" w:hAnsi="Times New Roman"/>
          <w:sz w:val="22"/>
          <w:vertAlign w:val="subscript"/>
        </w:rPr>
        <w:t>2</w:t>
      </w:r>
      <w:r>
        <w:rPr>
          <w:rFonts w:ascii="Times New Roman" w:hAnsi="Times New Roman"/>
          <w:sz w:val="22"/>
        </w:rPr>
        <w:t xml:space="preserve"> emissions), regardless of the emission levels, and a quantity policy generates whatever incentive is necessary to strictly limit emissions to a specified level” (</w:t>
      </w:r>
      <w:proofErr w:type="spellStart"/>
      <w:r>
        <w:rPr>
          <w:rFonts w:ascii="Times New Roman" w:hAnsi="Times New Roman"/>
          <w:sz w:val="22"/>
        </w:rPr>
        <w:t>Pizer</w:t>
      </w:r>
      <w:proofErr w:type="spellEnd"/>
      <w:r>
        <w:rPr>
          <w:rFonts w:ascii="Times New Roman" w:hAnsi="Times New Roman"/>
          <w:sz w:val="22"/>
        </w:rPr>
        <w:t>, 228).</w:t>
      </w:r>
    </w:p>
    <w:p w:rsidR="0057285D" w:rsidRDefault="0057285D" w:rsidP="00600BAF">
      <w:pPr>
        <w:rPr>
          <w:rFonts w:ascii="Times New Roman" w:hAnsi="Times New Roman"/>
          <w:sz w:val="22"/>
        </w:rPr>
      </w:pPr>
    </w:p>
    <w:p w:rsidR="007B5E67" w:rsidRPr="00233B4A" w:rsidRDefault="00A96320" w:rsidP="00600BAF">
      <w:pPr>
        <w:rPr>
          <w:rFonts w:ascii="Times New Roman" w:hAnsi="Times New Roman"/>
          <w:b/>
          <w:i/>
          <w:sz w:val="22"/>
        </w:rPr>
      </w:pPr>
      <w:r w:rsidRPr="00233B4A">
        <w:rPr>
          <w:rFonts w:ascii="Times New Roman" w:hAnsi="Times New Roman"/>
          <w:b/>
          <w:i/>
          <w:sz w:val="22"/>
        </w:rPr>
        <w:t>A major advantage of emissions pricing over mandating technology or specifying emissions quotas at the plant- or firm-level is that only the cheapest re</w:t>
      </w:r>
      <w:r w:rsidR="004C1BA5" w:rsidRPr="00233B4A">
        <w:rPr>
          <w:rFonts w:ascii="Times New Roman" w:hAnsi="Times New Roman"/>
          <w:b/>
          <w:i/>
          <w:sz w:val="22"/>
        </w:rPr>
        <w:t>ductions are undertaken (at least in theory).</w:t>
      </w:r>
      <w:r w:rsidR="004C1BA5" w:rsidRPr="00233B4A">
        <w:rPr>
          <w:rStyle w:val="FootnoteReference"/>
          <w:rFonts w:ascii="Times New Roman" w:hAnsi="Times New Roman"/>
          <w:b/>
          <w:i/>
          <w:sz w:val="22"/>
        </w:rPr>
        <w:footnoteReference w:id="-1"/>
      </w:r>
      <w:r w:rsidRPr="00233B4A">
        <w:rPr>
          <w:rFonts w:ascii="Times New Roman" w:hAnsi="Times New Roman"/>
          <w:b/>
          <w:i/>
          <w:sz w:val="22"/>
        </w:rPr>
        <w:t xml:space="preserve"> </w:t>
      </w:r>
    </w:p>
    <w:p w:rsidR="005D20CD" w:rsidRDefault="005D20CD" w:rsidP="00600BAF">
      <w:pPr>
        <w:rPr>
          <w:rFonts w:ascii="Times New Roman" w:hAnsi="Times New Roman"/>
          <w:sz w:val="22"/>
        </w:rPr>
      </w:pPr>
    </w:p>
    <w:p w:rsidR="005D20CD" w:rsidRPr="00F540EC" w:rsidRDefault="00F540EC" w:rsidP="00600BAF">
      <w:pPr>
        <w:rPr>
          <w:rFonts w:ascii="Times New Roman" w:hAnsi="Times New Roman"/>
          <w:b/>
          <w:sz w:val="22"/>
        </w:rPr>
      </w:pPr>
      <w:r w:rsidRPr="00F540EC">
        <w:rPr>
          <w:rFonts w:ascii="Times New Roman" w:hAnsi="Times New Roman"/>
          <w:b/>
          <w:sz w:val="22"/>
        </w:rPr>
        <w:t>Is there a clear preference between these two generic emissions pricing proposals?</w:t>
      </w:r>
    </w:p>
    <w:p w:rsidR="00F80A4C" w:rsidRDefault="00F80A4C" w:rsidP="00600BAF">
      <w:pPr>
        <w:rPr>
          <w:rFonts w:ascii="Times New Roman" w:hAnsi="Times New Roman"/>
          <w:sz w:val="22"/>
        </w:rPr>
      </w:pPr>
    </w:p>
    <w:p w:rsidR="00233B4A" w:rsidRDefault="003864B0" w:rsidP="00600BA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</w:t>
      </w:r>
      <w:r w:rsidR="00994CF1">
        <w:rPr>
          <w:rFonts w:ascii="Times New Roman" w:hAnsi="Times New Roman"/>
          <w:sz w:val="22"/>
        </w:rPr>
        <w:t xml:space="preserve"> </w:t>
      </w:r>
      <w:r w:rsidR="00F80A4C">
        <w:rPr>
          <w:rFonts w:ascii="Times New Roman" w:hAnsi="Times New Roman"/>
          <w:sz w:val="22"/>
        </w:rPr>
        <w:t>cost</w:t>
      </w:r>
      <w:r>
        <w:rPr>
          <w:rFonts w:ascii="Times New Roman" w:hAnsi="Times New Roman"/>
          <w:sz w:val="22"/>
        </w:rPr>
        <w:t>s</w:t>
      </w:r>
      <w:r w:rsidR="00F80A4C">
        <w:rPr>
          <w:rFonts w:ascii="Times New Roman" w:hAnsi="Times New Roman"/>
          <w:sz w:val="22"/>
        </w:rPr>
        <w:t xml:space="preserve"> of meeting international GHG emissions targets</w:t>
      </w:r>
      <w:r>
        <w:rPr>
          <w:rFonts w:ascii="Times New Roman" w:hAnsi="Times New Roman"/>
          <w:sz w:val="22"/>
        </w:rPr>
        <w:t xml:space="preserve"> depend upon several factors, including population, the level of economic growth, and the development of new technologies. (Recall Doug </w:t>
      </w:r>
      <w:proofErr w:type="spellStart"/>
      <w:r>
        <w:rPr>
          <w:rFonts w:ascii="Times New Roman" w:hAnsi="Times New Roman"/>
          <w:sz w:val="22"/>
        </w:rPr>
        <w:t>Muschett’s</w:t>
      </w:r>
      <w:proofErr w:type="spellEnd"/>
      <w:r>
        <w:rPr>
          <w:rFonts w:ascii="Times New Roman" w:hAnsi="Times New Roman"/>
          <w:sz w:val="22"/>
        </w:rPr>
        <w:t xml:space="preserve"> discussion of the I = PAT formula</w:t>
      </w:r>
      <w:r w:rsidR="00C855A9">
        <w:rPr>
          <w:rFonts w:ascii="Times New Roman" w:hAnsi="Times New Roman"/>
          <w:sz w:val="22"/>
        </w:rPr>
        <w:t xml:space="preserve"> last year.) </w:t>
      </w:r>
      <w:r w:rsidR="004702CD">
        <w:rPr>
          <w:rFonts w:ascii="Times New Roman" w:hAnsi="Times New Roman"/>
          <w:sz w:val="22"/>
        </w:rPr>
        <w:t xml:space="preserve">In view of such uncertainties, </w:t>
      </w:r>
      <w:r w:rsidR="00F540EC">
        <w:rPr>
          <w:rFonts w:ascii="Times New Roman" w:hAnsi="Times New Roman"/>
          <w:sz w:val="22"/>
        </w:rPr>
        <w:t xml:space="preserve">William </w:t>
      </w:r>
      <w:proofErr w:type="spellStart"/>
      <w:r w:rsidR="00F540EC">
        <w:rPr>
          <w:rFonts w:ascii="Times New Roman" w:hAnsi="Times New Roman"/>
          <w:sz w:val="22"/>
        </w:rPr>
        <w:t>Pizer</w:t>
      </w:r>
      <w:proofErr w:type="spellEnd"/>
      <w:r w:rsidR="00F540EC">
        <w:rPr>
          <w:rStyle w:val="FootnoteReference"/>
          <w:rFonts w:ascii="Times New Roman" w:hAnsi="Times New Roman"/>
          <w:sz w:val="22"/>
        </w:rPr>
        <w:footnoteReference w:id="0"/>
      </w:r>
      <w:r w:rsidR="00F540EC">
        <w:rPr>
          <w:rFonts w:ascii="Times New Roman" w:hAnsi="Times New Roman"/>
          <w:sz w:val="22"/>
        </w:rPr>
        <w:t xml:space="preserve"> </w:t>
      </w:r>
      <w:r w:rsidR="005334A7">
        <w:rPr>
          <w:rFonts w:ascii="Times New Roman" w:hAnsi="Times New Roman"/>
          <w:sz w:val="22"/>
        </w:rPr>
        <w:t xml:space="preserve">employed economic theory and </w:t>
      </w:r>
      <w:r w:rsidR="004702CD">
        <w:rPr>
          <w:rFonts w:ascii="Times New Roman" w:hAnsi="Times New Roman"/>
          <w:sz w:val="22"/>
        </w:rPr>
        <w:t xml:space="preserve">numerical simulations to claim that </w:t>
      </w:r>
      <w:r w:rsidR="00CC3B77">
        <w:rPr>
          <w:rFonts w:ascii="Times New Roman" w:hAnsi="Times New Roman"/>
          <w:sz w:val="22"/>
        </w:rPr>
        <w:t xml:space="preserve">the net economic benefits </w:t>
      </w:r>
      <w:r w:rsidR="005334A7">
        <w:rPr>
          <w:rFonts w:ascii="Times New Roman" w:hAnsi="Times New Roman"/>
          <w:sz w:val="22"/>
        </w:rPr>
        <w:t xml:space="preserve">(expected benefits minus expected costs) are much greater for </w:t>
      </w:r>
      <w:r w:rsidR="003D4EA5">
        <w:rPr>
          <w:rFonts w:ascii="Times New Roman" w:hAnsi="Times New Roman"/>
          <w:sz w:val="22"/>
        </w:rPr>
        <w:t>carbon tax approach</w:t>
      </w:r>
      <w:r w:rsidR="004702CD">
        <w:rPr>
          <w:rFonts w:ascii="Times New Roman" w:hAnsi="Times New Roman"/>
          <w:sz w:val="22"/>
        </w:rPr>
        <w:t>es</w:t>
      </w:r>
      <w:r w:rsidR="005334A7">
        <w:rPr>
          <w:rFonts w:ascii="Times New Roman" w:hAnsi="Times New Roman"/>
          <w:sz w:val="22"/>
        </w:rPr>
        <w:t xml:space="preserve"> than cap-and-trade strategies. </w:t>
      </w:r>
    </w:p>
    <w:p w:rsidR="00F540EC" w:rsidRDefault="00F540EC" w:rsidP="00600BAF">
      <w:pPr>
        <w:rPr>
          <w:rFonts w:ascii="Times New Roman" w:hAnsi="Times New Roman"/>
          <w:sz w:val="22"/>
        </w:rPr>
      </w:pPr>
    </w:p>
    <w:p w:rsidR="005D20CD" w:rsidRDefault="009901B8" w:rsidP="00600BA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a lengthier and more recent paper</w:t>
      </w:r>
      <w:r w:rsidR="00015B95">
        <w:rPr>
          <w:rStyle w:val="FootnoteReference"/>
          <w:rFonts w:ascii="Times New Roman" w:hAnsi="Times New Roman"/>
          <w:sz w:val="22"/>
        </w:rPr>
        <w:footnoteReference w:id="1"/>
      </w:r>
      <w:r>
        <w:rPr>
          <w:rFonts w:ascii="Times New Roman" w:hAnsi="Times New Roman"/>
          <w:sz w:val="22"/>
        </w:rPr>
        <w:t>, t</w:t>
      </w:r>
      <w:r w:rsidR="005131C0">
        <w:rPr>
          <w:rFonts w:ascii="Times New Roman" w:hAnsi="Times New Roman"/>
          <w:sz w:val="22"/>
        </w:rPr>
        <w:t>wo Standard economists have examined the strengths an</w:t>
      </w:r>
      <w:r>
        <w:rPr>
          <w:rFonts w:ascii="Times New Roman" w:hAnsi="Times New Roman"/>
          <w:sz w:val="22"/>
        </w:rPr>
        <w:t>d weaknesses of carbon taxes vs.</w:t>
      </w:r>
      <w:r w:rsidR="005131C0">
        <w:rPr>
          <w:rFonts w:ascii="Times New Roman" w:hAnsi="Times New Roman"/>
          <w:sz w:val="22"/>
        </w:rPr>
        <w:t xml:space="preserve"> cap-and-trade approaches along several “dimensions,” including </w:t>
      </w:r>
      <w:r>
        <w:rPr>
          <w:rFonts w:ascii="Times New Roman" w:hAnsi="Times New Roman"/>
          <w:sz w:val="22"/>
        </w:rPr>
        <w:t xml:space="preserve">volatility of emissions prices, administrative costs, wealth transfers to oil-exporting countries, </w:t>
      </w:r>
      <w:proofErr w:type="gramStart"/>
      <w:r>
        <w:rPr>
          <w:rFonts w:ascii="Times New Roman" w:hAnsi="Times New Roman"/>
          <w:sz w:val="22"/>
        </w:rPr>
        <w:t>linkage</w:t>
      </w:r>
      <w:proofErr w:type="gramEnd"/>
      <w:r>
        <w:rPr>
          <w:rFonts w:ascii="Times New Roman" w:hAnsi="Times New Roman"/>
          <w:sz w:val="22"/>
        </w:rPr>
        <w:t xml:space="preserve"> across political jurisdictions, and political feasibility. They conclude that </w:t>
      </w:r>
      <w:r w:rsidRPr="004D5AC7">
        <w:rPr>
          <w:rFonts w:ascii="Times New Roman" w:hAnsi="Times New Roman"/>
          <w:i/>
          <w:sz w:val="22"/>
        </w:rPr>
        <w:t>neither approach dominates</w:t>
      </w:r>
      <w:r>
        <w:rPr>
          <w:rFonts w:ascii="Times New Roman" w:hAnsi="Times New Roman"/>
          <w:sz w:val="22"/>
        </w:rPr>
        <w:t xml:space="preserve"> and that the specific mechanisms by which e</w:t>
      </w:r>
      <w:r w:rsidR="004D5AC7">
        <w:rPr>
          <w:rFonts w:ascii="Times New Roman" w:hAnsi="Times New Roman"/>
          <w:sz w:val="22"/>
        </w:rPr>
        <w:t xml:space="preserve">ach might be implemented </w:t>
      </w:r>
      <w:r>
        <w:rPr>
          <w:rFonts w:ascii="Times New Roman" w:hAnsi="Times New Roman"/>
          <w:sz w:val="22"/>
        </w:rPr>
        <w:t xml:space="preserve">can be as important as the generic type of the strategy itself. </w:t>
      </w:r>
    </w:p>
    <w:p w:rsidR="00327D7B" w:rsidRDefault="00327D7B" w:rsidP="00600BAF">
      <w:pPr>
        <w:rPr>
          <w:rFonts w:ascii="Times New Roman" w:hAnsi="Times New Roman"/>
          <w:sz w:val="22"/>
        </w:rPr>
      </w:pPr>
    </w:p>
    <w:p w:rsidR="009901B8" w:rsidRDefault="005334A7" w:rsidP="00600BAF">
      <w:pPr>
        <w:rPr>
          <w:rFonts w:ascii="Times New Roman" w:hAnsi="Times New Roman"/>
          <w:sz w:val="22"/>
        </w:rPr>
      </w:pPr>
      <w:r w:rsidRPr="005334A7">
        <w:rPr>
          <w:rFonts w:ascii="Times New Roman" w:hAnsi="Times New Roman"/>
          <w:sz w:val="22"/>
        </w:rPr>
        <w:t xml:space="preserve">Both papers favorably include </w:t>
      </w:r>
      <w:r w:rsidRPr="005334A7">
        <w:rPr>
          <w:rFonts w:ascii="Times New Roman" w:hAnsi="Times New Roman"/>
          <w:b/>
          <w:sz w:val="22"/>
        </w:rPr>
        <w:t>hybrid approaches</w:t>
      </w:r>
      <w:r w:rsidRPr="005334A7">
        <w:rPr>
          <w:rFonts w:ascii="Times New Roman" w:hAnsi="Times New Roman"/>
          <w:sz w:val="22"/>
        </w:rPr>
        <w:t>, in which</w:t>
      </w:r>
      <w:r>
        <w:rPr>
          <w:rFonts w:ascii="Times New Roman" w:hAnsi="Times New Roman"/>
          <w:sz w:val="22"/>
        </w:rPr>
        <w:t xml:space="preserve"> </w:t>
      </w:r>
      <w:r w:rsidR="006E51A5" w:rsidRPr="00C54C11">
        <w:rPr>
          <w:rFonts w:ascii="Times New Roman" w:hAnsi="Times New Roman"/>
          <w:sz w:val="22"/>
        </w:rPr>
        <w:t>CO</w:t>
      </w:r>
      <w:r w:rsidR="006E51A5" w:rsidRPr="00C54C11">
        <w:rPr>
          <w:rFonts w:ascii="Times New Roman" w:hAnsi="Times New Roman"/>
          <w:sz w:val="22"/>
          <w:vertAlign w:val="subscript"/>
        </w:rPr>
        <w:t>2</w:t>
      </w:r>
      <w:r w:rsidR="006E51A5">
        <w:rPr>
          <w:rFonts w:ascii="Times New Roman" w:hAnsi="Times New Roman"/>
          <w:sz w:val="22"/>
          <w:vertAlign w:val="subscript"/>
        </w:rPr>
        <w:t xml:space="preserve"> </w:t>
      </w:r>
      <w:r w:rsidR="006E51A5">
        <w:rPr>
          <w:rFonts w:ascii="Times New Roman" w:hAnsi="Times New Roman"/>
          <w:sz w:val="22"/>
        </w:rPr>
        <w:t>price and quantity control mechanisms are combined. Essentially, cap-and-trade activities operate, within a price floor and/or price ceiling.</w:t>
      </w:r>
    </w:p>
    <w:p w:rsidR="006E2357" w:rsidRPr="006A6315" w:rsidRDefault="006E2357" w:rsidP="00F95E41">
      <w:pPr>
        <w:rPr>
          <w:sz w:val="22"/>
        </w:rPr>
      </w:pPr>
    </w:p>
    <w:sectPr w:rsidR="006E2357" w:rsidRPr="006A6315" w:rsidSect="00FA7EE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5334A7" w:rsidRPr="007E172B" w:rsidRDefault="005334A7" w:rsidP="007E172B">
      <w:pPr>
        <w:rPr>
          <w:rFonts w:ascii="Times New Roman" w:hAnsi="Times New Roman"/>
          <w:sz w:val="20"/>
        </w:rPr>
      </w:pPr>
      <w:r w:rsidRPr="007E172B">
        <w:rPr>
          <w:rStyle w:val="FootnoteReference"/>
          <w:rFonts w:ascii="Times New Roman" w:hAnsi="Times New Roman"/>
          <w:sz w:val="20"/>
        </w:rPr>
        <w:footnoteRef/>
      </w:r>
      <w:r w:rsidRPr="007E172B">
        <w:rPr>
          <w:rFonts w:ascii="Times New Roman" w:hAnsi="Times New Roman"/>
          <w:sz w:val="20"/>
        </w:rPr>
        <w:t xml:space="preserve"> If the price of emitting a ton of CO</w:t>
      </w:r>
      <w:r w:rsidRPr="007E172B">
        <w:rPr>
          <w:rFonts w:ascii="Times New Roman" w:hAnsi="Times New Roman"/>
          <w:sz w:val="20"/>
          <w:vertAlign w:val="subscript"/>
        </w:rPr>
        <w:t>2</w:t>
      </w:r>
      <w:r w:rsidRPr="007E172B">
        <w:rPr>
          <w:rFonts w:ascii="Times New Roman" w:hAnsi="Times New Roman"/>
          <w:sz w:val="20"/>
        </w:rPr>
        <w:t xml:space="preserve"> is established by the regulatory agency, then cost-minimizing firms will only take steps to reduce emissions that cost less than this fixed price. If the emissions price is established via trading allowances within an overall cap, profit-maximizing firms that can reduce emissions at a cost less than the trading price will do so and sell their surplus permits to firms that would find such emissions reductions more costly than the trading price. </w:t>
      </w:r>
    </w:p>
  </w:footnote>
  <w:footnote w:id="0">
    <w:p w:rsidR="005334A7" w:rsidRPr="00233B4A" w:rsidRDefault="005334A7">
      <w:pPr>
        <w:pStyle w:val="FootnoteText"/>
        <w:rPr>
          <w:rFonts w:ascii="Times New Roman" w:hAnsi="Times New Roman"/>
          <w:sz w:val="20"/>
        </w:rPr>
      </w:pPr>
      <w:r w:rsidRPr="00233B4A">
        <w:rPr>
          <w:rStyle w:val="FootnoteReference"/>
          <w:rFonts w:ascii="Times New Roman" w:hAnsi="Times New Roman"/>
          <w:sz w:val="20"/>
        </w:rPr>
        <w:footnoteRef/>
      </w:r>
      <w:r w:rsidRPr="00233B4A">
        <w:rPr>
          <w:rFonts w:ascii="Times New Roman" w:hAnsi="Times New Roman"/>
          <w:sz w:val="20"/>
        </w:rPr>
        <w:t xml:space="preserve"> </w:t>
      </w:r>
      <w:proofErr w:type="gramStart"/>
      <w:r w:rsidRPr="00233B4A">
        <w:rPr>
          <w:rFonts w:ascii="Times New Roman" w:hAnsi="Times New Roman"/>
          <w:sz w:val="20"/>
        </w:rPr>
        <w:t xml:space="preserve">William </w:t>
      </w:r>
      <w:proofErr w:type="spellStart"/>
      <w:r w:rsidRPr="00233B4A">
        <w:rPr>
          <w:rFonts w:ascii="Times New Roman" w:hAnsi="Times New Roman"/>
          <w:sz w:val="20"/>
        </w:rPr>
        <w:t>Pizer</w:t>
      </w:r>
      <w:proofErr w:type="spellEnd"/>
      <w:r w:rsidRPr="00233B4A">
        <w:rPr>
          <w:rFonts w:ascii="Times New Roman" w:hAnsi="Times New Roman"/>
          <w:sz w:val="20"/>
        </w:rPr>
        <w:t xml:space="preserve">, “Choosing Price or Quantity Controls for Greenhouse Gases,” in </w:t>
      </w:r>
      <w:r w:rsidRPr="00233B4A">
        <w:rPr>
          <w:rFonts w:ascii="Times New Roman" w:hAnsi="Times New Roman"/>
          <w:i/>
          <w:sz w:val="20"/>
        </w:rPr>
        <w:t>The RFF Reader in Environmental and Resource Policy</w:t>
      </w:r>
      <w:r w:rsidRPr="00233B4A">
        <w:rPr>
          <w:rFonts w:ascii="Times New Roman" w:hAnsi="Times New Roman"/>
          <w:sz w:val="20"/>
        </w:rPr>
        <w:t>, 2</w:t>
      </w:r>
      <w:r w:rsidRPr="00233B4A">
        <w:rPr>
          <w:rFonts w:ascii="Times New Roman" w:hAnsi="Times New Roman"/>
          <w:sz w:val="20"/>
          <w:vertAlign w:val="superscript"/>
        </w:rPr>
        <w:t>nd</w:t>
      </w:r>
      <w:r w:rsidRPr="00233B4A">
        <w:rPr>
          <w:rFonts w:ascii="Times New Roman" w:hAnsi="Times New Roman"/>
          <w:sz w:val="20"/>
        </w:rPr>
        <w:t xml:space="preserve"> edition, Wallace C. Oates, editor (Washington, D.C.: Resources for the Future, 20</w:t>
      </w:r>
      <w:r>
        <w:rPr>
          <w:rFonts w:ascii="Times New Roman" w:hAnsi="Times New Roman"/>
          <w:sz w:val="20"/>
        </w:rPr>
        <w:t>06).</w:t>
      </w:r>
      <w:proofErr w:type="gramEnd"/>
      <w:r w:rsidRPr="00233B4A">
        <w:rPr>
          <w:rFonts w:ascii="Times New Roman" w:hAnsi="Times New Roman"/>
          <w:sz w:val="20"/>
        </w:rPr>
        <w:t xml:space="preserve"> </w:t>
      </w:r>
    </w:p>
  </w:footnote>
  <w:footnote w:id="1">
    <w:p w:rsidR="005334A7" w:rsidRPr="004D5AC7" w:rsidRDefault="005334A7" w:rsidP="004D5AC7">
      <w:pPr>
        <w:rPr>
          <w:rFonts w:ascii="Times New Roman" w:hAnsi="Times New Roman"/>
          <w:sz w:val="20"/>
        </w:rPr>
      </w:pPr>
      <w:r w:rsidRPr="00015B95"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 w:rsidRPr="004D5AC7">
        <w:rPr>
          <w:rFonts w:ascii="Times New Roman" w:hAnsi="Times New Roman"/>
          <w:sz w:val="20"/>
        </w:rPr>
        <w:t xml:space="preserve">Lawrence </w:t>
      </w:r>
      <w:proofErr w:type="spellStart"/>
      <w:r w:rsidRPr="004D5AC7">
        <w:rPr>
          <w:rFonts w:ascii="Times New Roman" w:hAnsi="Times New Roman"/>
          <w:sz w:val="20"/>
        </w:rPr>
        <w:t>Goulder</w:t>
      </w:r>
      <w:proofErr w:type="spellEnd"/>
      <w:r w:rsidRPr="004D5AC7">
        <w:rPr>
          <w:rFonts w:ascii="Times New Roman" w:hAnsi="Times New Roman"/>
          <w:sz w:val="20"/>
        </w:rPr>
        <w:t xml:space="preserve"> and Andrew Schein, “Carbon Taxes versus Cap and Trade: A Critical Review,” in </w:t>
      </w:r>
      <w:r w:rsidRPr="004D5AC7">
        <w:rPr>
          <w:rFonts w:ascii="Times New Roman" w:hAnsi="Times New Roman"/>
          <w:i/>
          <w:sz w:val="20"/>
        </w:rPr>
        <w:t>Climate Change Economics</w:t>
      </w:r>
      <w:r w:rsidRPr="004D5AC7">
        <w:rPr>
          <w:rFonts w:ascii="Times New Roman" w:hAnsi="Times New Roman"/>
          <w:sz w:val="20"/>
        </w:rPr>
        <w:t xml:space="preserve">, Vol. 4, No. 3 (2013), 28 pp. 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FD7"/>
    <w:multiLevelType w:val="hybridMultilevel"/>
    <w:tmpl w:val="6ACA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7CE0"/>
    <w:multiLevelType w:val="hybridMultilevel"/>
    <w:tmpl w:val="6ACA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47C6"/>
    <w:multiLevelType w:val="hybridMultilevel"/>
    <w:tmpl w:val="B42EE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B4E65"/>
    <w:rsid w:val="00015B95"/>
    <w:rsid w:val="000374DF"/>
    <w:rsid w:val="00053473"/>
    <w:rsid w:val="00074996"/>
    <w:rsid w:val="000856B0"/>
    <w:rsid w:val="000906F7"/>
    <w:rsid w:val="000A216E"/>
    <w:rsid w:val="000D1BC2"/>
    <w:rsid w:val="000D643F"/>
    <w:rsid w:val="001355B5"/>
    <w:rsid w:val="00233B4A"/>
    <w:rsid w:val="002958E9"/>
    <w:rsid w:val="002D555A"/>
    <w:rsid w:val="003215C4"/>
    <w:rsid w:val="00327D7B"/>
    <w:rsid w:val="003518C3"/>
    <w:rsid w:val="00355F20"/>
    <w:rsid w:val="00365911"/>
    <w:rsid w:val="003864B0"/>
    <w:rsid w:val="00394672"/>
    <w:rsid w:val="003D4EA5"/>
    <w:rsid w:val="003E1795"/>
    <w:rsid w:val="00410F1A"/>
    <w:rsid w:val="00422BD0"/>
    <w:rsid w:val="00460AA5"/>
    <w:rsid w:val="004702CD"/>
    <w:rsid w:val="00482936"/>
    <w:rsid w:val="00494695"/>
    <w:rsid w:val="00497339"/>
    <w:rsid w:val="004C1BA5"/>
    <w:rsid w:val="004D3629"/>
    <w:rsid w:val="004D5AC7"/>
    <w:rsid w:val="005131C0"/>
    <w:rsid w:val="005334A7"/>
    <w:rsid w:val="00537C2C"/>
    <w:rsid w:val="005427FA"/>
    <w:rsid w:val="0057285D"/>
    <w:rsid w:val="00582D80"/>
    <w:rsid w:val="005D20CD"/>
    <w:rsid w:val="00600BAF"/>
    <w:rsid w:val="0067721A"/>
    <w:rsid w:val="006A6315"/>
    <w:rsid w:val="006E2357"/>
    <w:rsid w:val="006E51A5"/>
    <w:rsid w:val="00705895"/>
    <w:rsid w:val="007136AC"/>
    <w:rsid w:val="0075024D"/>
    <w:rsid w:val="00751050"/>
    <w:rsid w:val="0076729B"/>
    <w:rsid w:val="00774972"/>
    <w:rsid w:val="00796ACA"/>
    <w:rsid w:val="007B5E67"/>
    <w:rsid w:val="007B6F76"/>
    <w:rsid w:val="007C795C"/>
    <w:rsid w:val="007E172B"/>
    <w:rsid w:val="007E219A"/>
    <w:rsid w:val="00820B71"/>
    <w:rsid w:val="0083201C"/>
    <w:rsid w:val="00856925"/>
    <w:rsid w:val="008A4C1E"/>
    <w:rsid w:val="008E10BB"/>
    <w:rsid w:val="008F13F7"/>
    <w:rsid w:val="00971B64"/>
    <w:rsid w:val="00987367"/>
    <w:rsid w:val="009901B8"/>
    <w:rsid w:val="00994CF1"/>
    <w:rsid w:val="00996195"/>
    <w:rsid w:val="009A04F2"/>
    <w:rsid w:val="009F596C"/>
    <w:rsid w:val="00A83859"/>
    <w:rsid w:val="00A96320"/>
    <w:rsid w:val="00AB6589"/>
    <w:rsid w:val="00AF29BF"/>
    <w:rsid w:val="00B51FB2"/>
    <w:rsid w:val="00B952AC"/>
    <w:rsid w:val="00BB4E65"/>
    <w:rsid w:val="00C54C11"/>
    <w:rsid w:val="00C855A9"/>
    <w:rsid w:val="00CC3740"/>
    <w:rsid w:val="00CC3B77"/>
    <w:rsid w:val="00D32285"/>
    <w:rsid w:val="00D4414F"/>
    <w:rsid w:val="00D46218"/>
    <w:rsid w:val="00D46BC4"/>
    <w:rsid w:val="00D920A0"/>
    <w:rsid w:val="00E0313D"/>
    <w:rsid w:val="00E84F13"/>
    <w:rsid w:val="00E935FF"/>
    <w:rsid w:val="00EA4C80"/>
    <w:rsid w:val="00EC182A"/>
    <w:rsid w:val="00F17B4D"/>
    <w:rsid w:val="00F252AA"/>
    <w:rsid w:val="00F37A20"/>
    <w:rsid w:val="00F51D08"/>
    <w:rsid w:val="00F540EC"/>
    <w:rsid w:val="00F541D7"/>
    <w:rsid w:val="00F80A4C"/>
    <w:rsid w:val="00F95E41"/>
    <w:rsid w:val="00FA3B33"/>
    <w:rsid w:val="00FA7EEE"/>
    <w:rsid w:val="00FB02E8"/>
    <w:rsid w:val="00FD4F39"/>
    <w:rsid w:val="00FE676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4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A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5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5FF"/>
  </w:style>
  <w:style w:type="character" w:styleId="FootnoteReference">
    <w:name w:val="footnote reference"/>
    <w:basedOn w:val="DefaultParagraphFont"/>
    <w:uiPriority w:val="99"/>
    <w:semiHidden/>
    <w:unhideWhenUsed/>
    <w:rsid w:val="00E935FF"/>
    <w:rPr>
      <w:vertAlign w:val="superscript"/>
    </w:rPr>
  </w:style>
  <w:style w:type="table" w:styleId="TableGrid">
    <w:name w:val="Table Grid"/>
    <w:basedOn w:val="TableNormal"/>
    <w:uiPriority w:val="59"/>
    <w:rsid w:val="007C79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406</Words>
  <Characters>2318</Characters>
  <Application>Microsoft Macintosh Word</Application>
  <DocSecurity>0</DocSecurity>
  <Lines>19</Lines>
  <Paragraphs>4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Carlson</dc:creator>
  <cp:keywords/>
  <dc:description/>
  <cp:lastModifiedBy>Bonita Carlson</cp:lastModifiedBy>
  <cp:revision>9</cp:revision>
  <dcterms:created xsi:type="dcterms:W3CDTF">2015-03-09T15:20:00Z</dcterms:created>
  <dcterms:modified xsi:type="dcterms:W3CDTF">2015-03-09T18:42:00Z</dcterms:modified>
</cp:coreProperties>
</file>